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威海市立医院选定户外广告设施安全检测机构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067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bookmarkStart w:id="0" w:name="_GoBack" w:colFirst="1" w:colLast="1"/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具有独立法人资格，营业期限在有效范围内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经营范围应明确包含“户外广告设施检测”内容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  <w:t>具备CMA资质认证证书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营业期限在有效范围内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647C3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1F6C6DDE"/>
    <w:rsid w:val="2642378B"/>
    <w:rsid w:val="2BCD73DE"/>
    <w:rsid w:val="2CAB77C5"/>
    <w:rsid w:val="51DE0E4D"/>
    <w:rsid w:val="537862A9"/>
    <w:rsid w:val="57E92F57"/>
    <w:rsid w:val="5CDC6E36"/>
    <w:rsid w:val="5F5922BE"/>
    <w:rsid w:val="671417E7"/>
    <w:rsid w:val="75C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7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2020-05-21T08:06:57Z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